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C577" w14:textId="77777777" w:rsidR="0094540A" w:rsidRDefault="0094540A" w:rsidP="005218AF">
      <w:pPr>
        <w:spacing w:after="0" w:line="240" w:lineRule="auto"/>
        <w:jc w:val="center"/>
        <w:rPr>
          <w:b/>
          <w:color w:val="000000"/>
        </w:rPr>
      </w:pPr>
    </w:p>
    <w:p w14:paraId="0FC17B30" w14:textId="77777777" w:rsidR="005218AF" w:rsidRDefault="005218AF" w:rsidP="005218A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Quarterly Update Checklist- 2023</w:t>
      </w:r>
    </w:p>
    <w:p w14:paraId="4AED617B" w14:textId="77777777" w:rsidR="005218AF" w:rsidRDefault="005218AF" w:rsidP="005218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6838449D" w14:textId="6B3427F2" w:rsidR="0094540A" w:rsidRDefault="005E52DC" w:rsidP="005218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General Notes:</w:t>
      </w:r>
    </w:p>
    <w:p w14:paraId="51AD2775" w14:textId="77777777" w:rsidR="0094540A" w:rsidRDefault="005E5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Purpose of the Quarterly Update Checklist is to break down the changes that are pushed out by CMS each quarter into a simplified checklist. Information is sporadically published prior to the start of the quarter. It is important that no element is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missed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and each element is acted upon at the change of calendar quarter in a timely fashion. If action is taken after the start of the quarter, then claims may need to be reviewed,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corrected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and rebilled.</w:t>
      </w:r>
    </w:p>
    <w:p w14:paraId="7ACF86F9" w14:textId="77777777" w:rsidR="0094540A" w:rsidRDefault="00945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9645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5130"/>
        <w:gridCol w:w="1305"/>
        <w:gridCol w:w="1215"/>
      </w:tblGrid>
      <w:tr w:rsidR="0094540A" w14:paraId="04646015" w14:textId="77777777" w:rsidTr="00945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</w:tcPr>
          <w:p w14:paraId="0679E5A3" w14:textId="77777777" w:rsidR="0094540A" w:rsidRDefault="005E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Section</w:t>
            </w:r>
          </w:p>
        </w:tc>
        <w:tc>
          <w:tcPr>
            <w:tcW w:w="5130" w:type="dxa"/>
            <w:tcBorders>
              <w:bottom w:val="single" w:sz="8" w:space="0" w:color="8064A2"/>
            </w:tcBorders>
          </w:tcPr>
          <w:p w14:paraId="0D6B5657" w14:textId="77777777" w:rsidR="0094540A" w:rsidRDefault="005E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Action to Take </w:t>
            </w:r>
          </w:p>
          <w:p w14:paraId="69DBFCF4" w14:textId="77777777" w:rsidR="0094540A" w:rsidRDefault="005E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All action should be effective the start date of the quarter</w:t>
            </w:r>
          </w:p>
        </w:tc>
        <w:tc>
          <w:tcPr>
            <w:tcW w:w="1305" w:type="dxa"/>
          </w:tcPr>
          <w:p w14:paraId="37840312" w14:textId="77777777" w:rsidR="0094540A" w:rsidRDefault="005E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Completed by (initials)</w:t>
            </w:r>
          </w:p>
        </w:tc>
        <w:tc>
          <w:tcPr>
            <w:tcW w:w="1215" w:type="dxa"/>
          </w:tcPr>
          <w:p w14:paraId="5E7688A1" w14:textId="77777777" w:rsidR="0094540A" w:rsidRDefault="005E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Date completed</w:t>
            </w:r>
          </w:p>
        </w:tc>
      </w:tr>
      <w:tr w:rsidR="0094540A" w14:paraId="7DCB9E9C" w14:textId="77777777" w:rsidTr="00945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Merge w:val="restart"/>
            <w:tcBorders>
              <w:right w:val="single" w:sz="4" w:space="0" w:color="000000"/>
            </w:tcBorders>
            <w:vAlign w:val="center"/>
          </w:tcPr>
          <w:p w14:paraId="19C6C612" w14:textId="77777777" w:rsidR="0094540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7">
              <w:r w:rsidR="005E52DC">
                <w:rPr>
                  <w:rFonts w:ascii="Times New Roman" w:eastAsia="Times New Roman" w:hAnsi="Times New Roman" w:cs="Times New Roman"/>
                  <w:b w:val="0"/>
                  <w:color w:val="0000FF"/>
                  <w:u w:val="single"/>
                </w:rPr>
                <w:t>HCPCS Quarterly Up</w:t>
              </w:r>
              <w:r w:rsidR="005E52DC">
                <w:rPr>
                  <w:rFonts w:ascii="Times New Roman" w:eastAsia="Times New Roman" w:hAnsi="Times New Roman" w:cs="Times New Roman"/>
                  <w:b w:val="0"/>
                  <w:color w:val="0000FF"/>
                  <w:u w:val="single"/>
                </w:rPr>
                <w:t>d</w:t>
              </w:r>
              <w:r w:rsidR="005E52DC">
                <w:rPr>
                  <w:rFonts w:ascii="Times New Roman" w:eastAsia="Times New Roman" w:hAnsi="Times New Roman" w:cs="Times New Roman"/>
                  <w:b w:val="0"/>
                  <w:color w:val="0000FF"/>
                  <w:u w:val="single"/>
                </w:rPr>
                <w:t>ate</w:t>
              </w:r>
            </w:hyperlink>
          </w:p>
          <w:p w14:paraId="79A95C1B" w14:textId="77777777" w:rsidR="0094540A" w:rsidRDefault="00945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tcBorders>
              <w:left w:val="single" w:sz="4" w:space="0" w:color="000000"/>
            </w:tcBorders>
          </w:tcPr>
          <w:p w14:paraId="713F6128" w14:textId="77777777" w:rsidR="0094540A" w:rsidRDefault="005E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Evaluate the new HCPCS “A” or “ADD”</w:t>
            </w:r>
          </w:p>
          <w:p w14:paraId="277F245C" w14:textId="77777777" w:rsidR="0094540A" w:rsidRDefault="005E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Determine if use in EMR, update as needed with correct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billed units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(represented in long description)</w:t>
            </w:r>
          </w:p>
          <w:p w14:paraId="53A29564" w14:textId="77777777" w:rsidR="0094540A" w:rsidRDefault="00945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F4A1178" w14:textId="77777777" w:rsidR="0094540A" w:rsidRDefault="005E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Tip: Drugs receiving a new HCPCS may have been previously billed with a non-specified code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e.g.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C9399)</w:t>
            </w:r>
          </w:p>
        </w:tc>
        <w:tc>
          <w:tcPr>
            <w:tcW w:w="1305" w:type="dxa"/>
          </w:tcPr>
          <w:p w14:paraId="778CF0E6" w14:textId="77777777" w:rsidR="0094540A" w:rsidRDefault="00945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5" w:type="dxa"/>
          </w:tcPr>
          <w:p w14:paraId="75028C41" w14:textId="77777777" w:rsidR="0094540A" w:rsidRDefault="00945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40A" w14:paraId="59FCF89D" w14:textId="77777777" w:rsidTr="0094540A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Merge/>
            <w:tcBorders>
              <w:right w:val="single" w:sz="4" w:space="0" w:color="000000"/>
            </w:tcBorders>
            <w:vAlign w:val="center"/>
          </w:tcPr>
          <w:p w14:paraId="0790B066" w14:textId="77777777" w:rsidR="0094540A" w:rsidRDefault="00945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tcBorders>
              <w:top w:val="single" w:sz="8" w:space="0" w:color="8064A2"/>
              <w:left w:val="single" w:sz="4" w:space="0" w:color="000000"/>
              <w:bottom w:val="single" w:sz="8" w:space="0" w:color="8064A2"/>
            </w:tcBorders>
          </w:tcPr>
          <w:p w14:paraId="54CBF7EB" w14:textId="77777777" w:rsidR="0094540A" w:rsidRDefault="005E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Evaluate the discontinued HCPCS “D” or “Discontinued”</w:t>
            </w:r>
          </w:p>
          <w:p w14:paraId="2FF2DB6C" w14:textId="77777777" w:rsidR="0094540A" w:rsidRDefault="005E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Remove all discontinued HCPCS from EMR</w:t>
            </w:r>
          </w:p>
          <w:p w14:paraId="12D88B0A" w14:textId="77777777" w:rsidR="0094540A" w:rsidRDefault="00945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5AB914" w14:textId="77777777" w:rsidR="0094540A" w:rsidRDefault="005E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Tip: Many of the additions will be replacing the discontinued HCPCS; thus, you can align the “A” and “D” side by side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14:paraId="6B7B01D0" w14:textId="77777777" w:rsidR="0094540A" w:rsidRDefault="005E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Tip: Ensure that you also update the billed unit. They may be different with the newly added HCPCS.</w:t>
            </w:r>
          </w:p>
        </w:tc>
        <w:tc>
          <w:tcPr>
            <w:tcW w:w="1305" w:type="dxa"/>
          </w:tcPr>
          <w:p w14:paraId="690188B0" w14:textId="77777777" w:rsidR="0094540A" w:rsidRDefault="00945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5" w:type="dxa"/>
          </w:tcPr>
          <w:p w14:paraId="7AE5B927" w14:textId="77777777" w:rsidR="0094540A" w:rsidRDefault="00945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40A" w14:paraId="1A1A218E" w14:textId="77777777" w:rsidTr="00945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Merge/>
            <w:tcBorders>
              <w:right w:val="single" w:sz="4" w:space="0" w:color="000000"/>
            </w:tcBorders>
            <w:vAlign w:val="center"/>
          </w:tcPr>
          <w:p w14:paraId="58DA8B28" w14:textId="77777777" w:rsidR="0094540A" w:rsidRDefault="00945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30" w:type="dxa"/>
            <w:tcBorders>
              <w:left w:val="single" w:sz="4" w:space="0" w:color="000000"/>
            </w:tcBorders>
          </w:tcPr>
          <w:p w14:paraId="53195B7E" w14:textId="77777777" w:rsidR="0094540A" w:rsidRDefault="005E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Review long and short description changes “B” or “S”</w:t>
            </w:r>
          </w:p>
          <w:p w14:paraId="0ED7C213" w14:textId="77777777" w:rsidR="0094540A" w:rsidRDefault="005E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Tip: Many of these changes will be FYI; however, it is good to double check to determine any impact.</w:t>
            </w:r>
          </w:p>
        </w:tc>
        <w:tc>
          <w:tcPr>
            <w:tcW w:w="1305" w:type="dxa"/>
          </w:tcPr>
          <w:p w14:paraId="063D0974" w14:textId="77777777" w:rsidR="0094540A" w:rsidRDefault="00945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5" w:type="dxa"/>
          </w:tcPr>
          <w:p w14:paraId="6EA0639B" w14:textId="77777777" w:rsidR="0094540A" w:rsidRDefault="00945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40A" w14:paraId="39317449" w14:textId="77777777" w:rsidTr="0094540A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tcBorders>
              <w:right w:val="single" w:sz="4" w:space="0" w:color="000000"/>
            </w:tcBorders>
            <w:vAlign w:val="center"/>
          </w:tcPr>
          <w:p w14:paraId="7785FBF4" w14:textId="77777777" w:rsidR="0094540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8">
              <w:r w:rsidR="005E52DC">
                <w:rPr>
                  <w:rFonts w:ascii="Times New Roman" w:eastAsia="Times New Roman" w:hAnsi="Times New Roman" w:cs="Times New Roman"/>
                  <w:b w:val="0"/>
                  <w:color w:val="0000FF"/>
                  <w:u w:val="single"/>
                </w:rPr>
                <w:t>Ad</w:t>
              </w:r>
              <w:r w:rsidR="005E52DC">
                <w:rPr>
                  <w:rFonts w:ascii="Times New Roman" w:eastAsia="Times New Roman" w:hAnsi="Times New Roman" w:cs="Times New Roman"/>
                  <w:b w:val="0"/>
                  <w:color w:val="0000FF"/>
                  <w:u w:val="single"/>
                </w:rPr>
                <w:t>d</w:t>
              </w:r>
              <w:r w:rsidR="005E52DC">
                <w:rPr>
                  <w:rFonts w:ascii="Times New Roman" w:eastAsia="Times New Roman" w:hAnsi="Times New Roman" w:cs="Times New Roman"/>
                  <w:b w:val="0"/>
                  <w:color w:val="0000FF"/>
                  <w:u w:val="single"/>
                </w:rPr>
                <w:t>endum B</w:t>
              </w:r>
            </w:hyperlink>
          </w:p>
        </w:tc>
        <w:tc>
          <w:tcPr>
            <w:tcW w:w="5130" w:type="dxa"/>
            <w:tcBorders>
              <w:top w:val="single" w:sz="8" w:space="0" w:color="8064A2"/>
              <w:left w:val="single" w:sz="4" w:space="0" w:color="000000"/>
              <w:bottom w:val="single" w:sz="8" w:space="0" w:color="8064A2"/>
            </w:tcBorders>
          </w:tcPr>
          <w:p w14:paraId="6A1FC8C2" w14:textId="77777777" w:rsidR="0094540A" w:rsidRDefault="005E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Compare previous quarter’s addendum B to current quarter to determine changes in status indicator.</w:t>
            </w:r>
          </w:p>
          <w:p w14:paraId="6065A3E6" w14:textId="77777777" w:rsidR="0094540A" w:rsidRDefault="005E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Compare percent change in payment, filter to drugs with status indicator of K or G.</w:t>
            </w:r>
          </w:p>
          <w:p w14:paraId="364D9E33" w14:textId="77777777" w:rsidR="0094540A" w:rsidRDefault="00945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ABAD6BA" w14:textId="77777777" w:rsidR="0094540A" w:rsidRDefault="005E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Tip: Select 340B hospitals are required to update TB and JG modifiers based on changes in status indicator</w:t>
            </w:r>
          </w:p>
          <w:p w14:paraId="4CCC935B" w14:textId="77777777" w:rsidR="0094540A" w:rsidRDefault="005E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Tip: It may be important to establish a percent change threshold to determine if a rebill is necessary.</w:t>
            </w:r>
          </w:p>
        </w:tc>
        <w:tc>
          <w:tcPr>
            <w:tcW w:w="1305" w:type="dxa"/>
          </w:tcPr>
          <w:p w14:paraId="5F3DF894" w14:textId="77777777" w:rsidR="0094540A" w:rsidRDefault="00945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5" w:type="dxa"/>
          </w:tcPr>
          <w:p w14:paraId="67761C88" w14:textId="77777777" w:rsidR="0094540A" w:rsidRDefault="00945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40A" w14:paraId="794407CA" w14:textId="77777777" w:rsidTr="00945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tcBorders>
              <w:right w:val="single" w:sz="4" w:space="0" w:color="000000"/>
            </w:tcBorders>
            <w:vAlign w:val="center"/>
          </w:tcPr>
          <w:p w14:paraId="3946D70E" w14:textId="166B40F1" w:rsidR="0094540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9">
              <w:r w:rsidR="005E52DC">
                <w:rPr>
                  <w:rFonts w:ascii="Times New Roman" w:eastAsia="Times New Roman" w:hAnsi="Times New Roman" w:cs="Times New Roman"/>
                  <w:b w:val="0"/>
                  <w:color w:val="0000FF"/>
                  <w:u w:val="single"/>
                </w:rPr>
                <w:t>ASP/HCPCS-NDC Cros</w:t>
              </w:r>
              <w:r w:rsidR="005E52DC">
                <w:rPr>
                  <w:rFonts w:ascii="Times New Roman" w:eastAsia="Times New Roman" w:hAnsi="Times New Roman" w:cs="Times New Roman"/>
                  <w:b w:val="0"/>
                  <w:color w:val="0000FF"/>
                  <w:u w:val="single"/>
                </w:rPr>
                <w:t>s</w:t>
              </w:r>
              <w:r w:rsidR="005E52DC">
                <w:rPr>
                  <w:rFonts w:ascii="Times New Roman" w:eastAsia="Times New Roman" w:hAnsi="Times New Roman" w:cs="Times New Roman"/>
                  <w:b w:val="0"/>
                  <w:color w:val="0000FF"/>
                  <w:u w:val="single"/>
                </w:rPr>
                <w:t>w</w:t>
              </w:r>
              <w:r w:rsidR="005E52DC">
                <w:rPr>
                  <w:rFonts w:ascii="Times New Roman" w:eastAsia="Times New Roman" w:hAnsi="Times New Roman" w:cs="Times New Roman"/>
                  <w:b w:val="0"/>
                  <w:color w:val="0000FF"/>
                  <w:u w:val="single"/>
                </w:rPr>
                <w:t>a</w:t>
              </w:r>
              <w:r w:rsidR="005E52DC">
                <w:rPr>
                  <w:rFonts w:ascii="Times New Roman" w:eastAsia="Times New Roman" w:hAnsi="Times New Roman" w:cs="Times New Roman"/>
                  <w:b w:val="0"/>
                  <w:color w:val="0000FF"/>
                  <w:u w:val="single"/>
                </w:rPr>
                <w:t>lks</w:t>
              </w:r>
            </w:hyperlink>
          </w:p>
        </w:tc>
        <w:tc>
          <w:tcPr>
            <w:tcW w:w="5130" w:type="dxa"/>
            <w:tcBorders>
              <w:left w:val="single" w:sz="4" w:space="0" w:color="000000"/>
            </w:tcBorders>
          </w:tcPr>
          <w:p w14:paraId="6DB51950" w14:textId="77777777" w:rsidR="0094540A" w:rsidRDefault="005E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ASP crosswalk files may also be used to compare percent change in CMS payment rate. These may be published in advance of addendum B.</w:t>
            </w:r>
          </w:p>
        </w:tc>
        <w:tc>
          <w:tcPr>
            <w:tcW w:w="1305" w:type="dxa"/>
          </w:tcPr>
          <w:p w14:paraId="5798FB1C" w14:textId="77777777" w:rsidR="0094540A" w:rsidRDefault="00945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5" w:type="dxa"/>
          </w:tcPr>
          <w:p w14:paraId="22E6547D" w14:textId="77777777" w:rsidR="0094540A" w:rsidRDefault="00945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40A" w14:paraId="2BABC042" w14:textId="77777777" w:rsidTr="0094540A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tcBorders>
              <w:right w:val="single" w:sz="4" w:space="0" w:color="000000"/>
            </w:tcBorders>
            <w:vAlign w:val="center"/>
          </w:tcPr>
          <w:p w14:paraId="41EBBC0E" w14:textId="77777777" w:rsidR="0094540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">
              <w:r w:rsidR="005E52DC">
                <w:rPr>
                  <w:rFonts w:ascii="Times New Roman" w:eastAsia="Times New Roman" w:hAnsi="Times New Roman" w:cs="Times New Roman"/>
                  <w:b w:val="0"/>
                  <w:color w:val="0000FF"/>
                  <w:u w:val="single"/>
                </w:rPr>
                <w:t>Restated pay</w:t>
              </w:r>
              <w:r w:rsidR="005E52DC">
                <w:rPr>
                  <w:rFonts w:ascii="Times New Roman" w:eastAsia="Times New Roman" w:hAnsi="Times New Roman" w:cs="Times New Roman"/>
                  <w:b w:val="0"/>
                  <w:color w:val="0000FF"/>
                  <w:u w:val="single"/>
                </w:rPr>
                <w:t>m</w:t>
              </w:r>
              <w:r w:rsidR="005E52DC">
                <w:rPr>
                  <w:rFonts w:ascii="Times New Roman" w:eastAsia="Times New Roman" w:hAnsi="Times New Roman" w:cs="Times New Roman"/>
                  <w:b w:val="0"/>
                  <w:color w:val="0000FF"/>
                  <w:u w:val="single"/>
                </w:rPr>
                <w:t>ents</w:t>
              </w:r>
            </w:hyperlink>
          </w:p>
        </w:tc>
        <w:tc>
          <w:tcPr>
            <w:tcW w:w="5130" w:type="dxa"/>
            <w:tcBorders>
              <w:top w:val="single" w:sz="8" w:space="0" w:color="8064A2"/>
              <w:left w:val="single" w:sz="4" w:space="0" w:color="000000"/>
              <w:bottom w:val="single" w:sz="8" w:space="0" w:color="8064A2"/>
            </w:tcBorders>
          </w:tcPr>
          <w:p w14:paraId="0B9A3FAE" w14:textId="77777777" w:rsidR="0094540A" w:rsidRDefault="005E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Map restated payments to the effective quarter, determine impact, and rebill as necessary.</w:t>
            </w:r>
          </w:p>
        </w:tc>
        <w:tc>
          <w:tcPr>
            <w:tcW w:w="1305" w:type="dxa"/>
          </w:tcPr>
          <w:p w14:paraId="37899A7A" w14:textId="77777777" w:rsidR="0094540A" w:rsidRDefault="00945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5" w:type="dxa"/>
          </w:tcPr>
          <w:p w14:paraId="34F810DD" w14:textId="77777777" w:rsidR="0094540A" w:rsidRDefault="00945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40A" w14:paraId="34E85EE3" w14:textId="77777777" w:rsidTr="00945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tcBorders>
              <w:right w:val="single" w:sz="4" w:space="0" w:color="000000"/>
            </w:tcBorders>
            <w:vAlign w:val="center"/>
          </w:tcPr>
          <w:p w14:paraId="76FB72DF" w14:textId="77777777" w:rsidR="0094540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  <w:u w:val="single"/>
              </w:rPr>
            </w:pPr>
            <w:hyperlink r:id="rId11">
              <w:r w:rsidR="005E52DC">
                <w:rPr>
                  <w:rFonts w:ascii="Times New Roman" w:eastAsia="Times New Roman" w:hAnsi="Times New Roman" w:cs="Times New Roman"/>
                  <w:b w:val="0"/>
                  <w:color w:val="0000FF"/>
                  <w:u w:val="single"/>
                </w:rPr>
                <w:t>M</w:t>
              </w:r>
              <w:r w:rsidR="005E52DC">
                <w:rPr>
                  <w:rFonts w:ascii="Times New Roman" w:eastAsia="Times New Roman" w:hAnsi="Times New Roman" w:cs="Times New Roman"/>
                  <w:b w:val="0"/>
                  <w:color w:val="0000FF"/>
                  <w:u w:val="single"/>
                </w:rPr>
                <w:t>U</w:t>
              </w:r>
              <w:r w:rsidR="005E52DC">
                <w:rPr>
                  <w:rFonts w:ascii="Times New Roman" w:eastAsia="Times New Roman" w:hAnsi="Times New Roman" w:cs="Times New Roman"/>
                  <w:b w:val="0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5130" w:type="dxa"/>
            <w:tcBorders>
              <w:left w:val="single" w:sz="4" w:space="0" w:color="000000"/>
            </w:tcBorders>
          </w:tcPr>
          <w:p w14:paraId="2772DF7B" w14:textId="77777777" w:rsidR="0094540A" w:rsidRDefault="005E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Medically Unlikely Edits may change for drugs necessitating a rebill.</w:t>
            </w:r>
          </w:p>
          <w:p w14:paraId="7CF43EEE" w14:textId="77777777" w:rsidR="0094540A" w:rsidRDefault="00945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11F3B14" w14:textId="77777777" w:rsidR="0094540A" w:rsidRDefault="005E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Tip: Monitor FDA labeling changes in dosing regimens. Dosing regimen changes may cause the MUE to be exceeded creating a source of denials. </w:t>
            </w:r>
          </w:p>
        </w:tc>
        <w:tc>
          <w:tcPr>
            <w:tcW w:w="1305" w:type="dxa"/>
          </w:tcPr>
          <w:p w14:paraId="662A499A" w14:textId="77777777" w:rsidR="0094540A" w:rsidRDefault="00945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5" w:type="dxa"/>
          </w:tcPr>
          <w:p w14:paraId="7F5682E4" w14:textId="77777777" w:rsidR="0094540A" w:rsidRDefault="00945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40A" w14:paraId="00CA1F4F" w14:textId="77777777" w:rsidTr="0094540A">
        <w:trPr>
          <w:trHeight w:val="1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tcBorders>
              <w:right w:val="single" w:sz="4" w:space="0" w:color="000000"/>
            </w:tcBorders>
            <w:vAlign w:val="center"/>
          </w:tcPr>
          <w:p w14:paraId="518D0042" w14:textId="77777777" w:rsidR="0094540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  <w:u w:val="single"/>
              </w:rPr>
            </w:pPr>
            <w:hyperlink r:id="rId12">
              <w:r w:rsidR="005E52DC">
                <w:rPr>
                  <w:rFonts w:ascii="Times New Roman" w:eastAsia="Times New Roman" w:hAnsi="Times New Roman" w:cs="Times New Roman"/>
                  <w:b w:val="0"/>
                  <w:color w:val="0000FF"/>
                  <w:u w:val="single"/>
                </w:rPr>
                <w:t>I/</w:t>
              </w:r>
              <w:r w:rsidR="005E52DC">
                <w:rPr>
                  <w:rFonts w:ascii="Times New Roman" w:eastAsia="Times New Roman" w:hAnsi="Times New Roman" w:cs="Times New Roman"/>
                  <w:b w:val="0"/>
                  <w:color w:val="0000FF"/>
                  <w:u w:val="single"/>
                </w:rPr>
                <w:t>O</w:t>
              </w:r>
              <w:r w:rsidR="005E52DC">
                <w:rPr>
                  <w:rFonts w:ascii="Times New Roman" w:eastAsia="Times New Roman" w:hAnsi="Times New Roman" w:cs="Times New Roman"/>
                  <w:b w:val="0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5130" w:type="dxa"/>
            <w:tcBorders>
              <w:left w:val="single" w:sz="4" w:space="0" w:color="000000"/>
            </w:tcBorders>
          </w:tcPr>
          <w:p w14:paraId="294FBCFE" w14:textId="77777777" w:rsidR="0094540A" w:rsidRDefault="005E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Inpatient/Outpatient Code Editor (I/OCE) is another source for the quarterly changes. The I/OCE is the primary source file in which each MAC uses to apply claim edits.</w:t>
            </w:r>
          </w:p>
          <w:p w14:paraId="73122E04" w14:textId="77777777" w:rsidR="0094540A" w:rsidRDefault="00945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14:paraId="1B7C562D" w14:textId="77777777" w:rsidR="0094540A" w:rsidRDefault="005E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Tip: Carefully review each of the documents and validate there are no discrepancies in the data. CMS may be contacted to clarify any discrepancies.</w:t>
            </w:r>
          </w:p>
        </w:tc>
        <w:tc>
          <w:tcPr>
            <w:tcW w:w="1305" w:type="dxa"/>
          </w:tcPr>
          <w:p w14:paraId="0C02C69B" w14:textId="77777777" w:rsidR="0094540A" w:rsidRDefault="00945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5" w:type="dxa"/>
          </w:tcPr>
          <w:p w14:paraId="6189DC02" w14:textId="77777777" w:rsidR="0094540A" w:rsidRDefault="00945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40A" w14:paraId="039645E0" w14:textId="77777777" w:rsidTr="00945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tcBorders>
              <w:right w:val="single" w:sz="4" w:space="0" w:color="000000"/>
            </w:tcBorders>
            <w:vAlign w:val="center"/>
          </w:tcPr>
          <w:p w14:paraId="651FC05C" w14:textId="4B8FDD37" w:rsidR="0094540A" w:rsidRDefault="005E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fldChar w:fldCharType="begin"/>
            </w:r>
            <w:r w:rsidR="00C635AC">
              <w:instrText>HYPERLINK "https://www.cms.gov/Regulations-and-Guidance/Guidance/Transmittals/2021-Transmittals"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b w:val="0"/>
                <w:color w:val="0000FF"/>
                <w:u w:val="single"/>
              </w:rPr>
              <w:t>Transmittal or</w:t>
            </w:r>
          </w:p>
          <w:p w14:paraId="0E237F24" w14:textId="77777777" w:rsidR="0094540A" w:rsidRDefault="005E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FF"/>
                <w:u w:val="single"/>
              </w:rPr>
              <w:t>MM Art</w:t>
            </w:r>
            <w:r>
              <w:rPr>
                <w:rFonts w:ascii="Times New Roman" w:eastAsia="Times New Roman" w:hAnsi="Times New Roman" w:cs="Times New Roman"/>
                <w:b w:val="0"/>
                <w:color w:val="0000FF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color w:val="0000FF"/>
                <w:u w:val="single"/>
              </w:rPr>
              <w:t>cle</w:t>
            </w:r>
            <w:r>
              <w:fldChar w:fldCharType="end"/>
            </w:r>
          </w:p>
        </w:tc>
        <w:tc>
          <w:tcPr>
            <w:tcW w:w="5130" w:type="dxa"/>
            <w:tcBorders>
              <w:left w:val="single" w:sz="4" w:space="0" w:color="000000"/>
            </w:tcBorders>
          </w:tcPr>
          <w:p w14:paraId="02D12E5F" w14:textId="77777777" w:rsidR="0094540A" w:rsidRDefault="005E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Locate the transmittals/MM articles that summarize the changes for the respective quarter. </w:t>
            </w:r>
          </w:p>
          <w:p w14:paraId="2DEC9F05" w14:textId="77777777" w:rsidR="0094540A" w:rsidRDefault="005E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Validate that each of the above areas were addressed and updated.</w:t>
            </w:r>
          </w:p>
          <w:p w14:paraId="699D589C" w14:textId="77777777" w:rsidR="0094540A" w:rsidRDefault="005E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Review article for any other changes that may be addressed outside of the section labeled “Dugs, Biologicals, and Radiopharmaceuticals”.</w:t>
            </w:r>
          </w:p>
          <w:p w14:paraId="545D48B0" w14:textId="77777777" w:rsidR="0094540A" w:rsidRDefault="00945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BA76FC" w14:textId="77777777" w:rsidR="0094540A" w:rsidRDefault="005E5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Tip: Sign up for the newsletters at the bottom of the CMS page to have these automatically sent to your email.</w:t>
            </w:r>
          </w:p>
        </w:tc>
        <w:tc>
          <w:tcPr>
            <w:tcW w:w="1305" w:type="dxa"/>
          </w:tcPr>
          <w:p w14:paraId="21735C5E" w14:textId="77777777" w:rsidR="0094540A" w:rsidRDefault="00945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5" w:type="dxa"/>
          </w:tcPr>
          <w:p w14:paraId="61AB4C2D" w14:textId="77777777" w:rsidR="0094540A" w:rsidRDefault="00945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7034897" w14:textId="2F5BBD88" w:rsidR="0094540A" w:rsidRDefault="005E52D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version: </w:t>
      </w:r>
      <w:r w:rsidR="004456B3">
        <w:rPr>
          <w:rFonts w:ascii="Times New Roman" w:eastAsia="Times New Roman" w:hAnsi="Times New Roman" w:cs="Times New Roman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4456B3">
        <w:rPr>
          <w:rFonts w:ascii="Times New Roman" w:eastAsia="Times New Roman" w:hAnsi="Times New Roman" w:cs="Times New Roman"/>
          <w:sz w:val="20"/>
          <w:szCs w:val="20"/>
        </w:rPr>
        <w:t>0</w:t>
      </w:r>
      <w:r w:rsidR="00C635AC">
        <w:rPr>
          <w:rFonts w:ascii="Times New Roman" w:eastAsia="Times New Roman" w:hAnsi="Times New Roman" w:cs="Times New Roman"/>
          <w:sz w:val="20"/>
          <w:szCs w:val="20"/>
        </w:rPr>
        <w:t>2/2023</w:t>
      </w:r>
    </w:p>
    <w:sectPr w:rsidR="0094540A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F5BF0" w14:textId="77777777" w:rsidR="00863FA3" w:rsidRDefault="00863FA3" w:rsidP="005218AF">
      <w:pPr>
        <w:spacing w:after="0" w:line="240" w:lineRule="auto"/>
      </w:pPr>
      <w:r>
        <w:separator/>
      </w:r>
    </w:p>
  </w:endnote>
  <w:endnote w:type="continuationSeparator" w:id="0">
    <w:p w14:paraId="5E54EB38" w14:textId="77777777" w:rsidR="00863FA3" w:rsidRDefault="00863FA3" w:rsidP="0052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4403" w14:textId="77777777" w:rsidR="00863FA3" w:rsidRDefault="00863FA3" w:rsidP="005218AF">
      <w:pPr>
        <w:spacing w:after="0" w:line="240" w:lineRule="auto"/>
      </w:pPr>
      <w:r>
        <w:separator/>
      </w:r>
    </w:p>
  </w:footnote>
  <w:footnote w:type="continuationSeparator" w:id="0">
    <w:p w14:paraId="29A9DD80" w14:textId="77777777" w:rsidR="00863FA3" w:rsidRDefault="00863FA3" w:rsidP="0052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415E" w14:textId="72833BA4" w:rsidR="005218AF" w:rsidRDefault="005218AF" w:rsidP="005218A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0DE975" wp14:editId="54D54433">
              <wp:simplePos x="0" y="0"/>
              <wp:positionH relativeFrom="column">
                <wp:posOffset>-715617</wp:posOffset>
              </wp:positionH>
              <wp:positionV relativeFrom="paragraph">
                <wp:posOffset>-202759</wp:posOffset>
              </wp:positionV>
              <wp:extent cx="2107095" cy="659903"/>
              <wp:effectExtent l="0" t="0" r="0" b="698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7095" cy="65990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1806D8" w14:textId="66FCEEDA" w:rsidR="005218AF" w:rsidRDefault="005218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6402AE" wp14:editId="75AF086E">
                                <wp:extent cx="1905769" cy="572494"/>
                                <wp:effectExtent l="0" t="0" r="0" b="0"/>
                                <wp:docPr id="1" name="Picture 1" descr="A picture containing text, clip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picture containing text, clipart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5400" cy="5904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0DE9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6.35pt;margin-top:-15.95pt;width:165.9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" filled="f" stroked="f" strokeweight=".5pt">
              <v:textbox>
                <w:txbxContent>
                  <w:p w14:paraId="2C1806D8" w14:textId="66FCEEDA" w:rsidR="005218AF" w:rsidRDefault="005218AF">
                    <w:r>
                      <w:rPr>
                        <w:noProof/>
                      </w:rPr>
                      <w:drawing>
                        <wp:inline distT="0" distB="0" distL="0" distR="0" wp14:anchorId="106402AE" wp14:editId="75AF086E">
                          <wp:extent cx="1905769" cy="572494"/>
                          <wp:effectExtent l="0" t="0" r="0" b="0"/>
                          <wp:docPr id="1" name="Picture 1" descr="A picture containing text, clipar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 picture containing text, clipart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5400" cy="5904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 xml:space="preserve">Visante </w:t>
    </w:r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>Pharmacy Revenue Cycle</w:t>
    </w:r>
  </w:p>
  <w:p w14:paraId="4B7260F2" w14:textId="39AB1201" w:rsidR="005218AF" w:rsidRDefault="005218AF" w:rsidP="005218AF">
    <w:pPr>
      <w:pStyle w:val="Header"/>
      <w:tabs>
        <w:tab w:val="clear" w:pos="4680"/>
        <w:tab w:val="clear" w:pos="9360"/>
        <w:tab w:val="left" w:pos="3055"/>
      </w:tabs>
    </w:pPr>
  </w:p>
  <w:p w14:paraId="47FA2702" w14:textId="77777777" w:rsidR="005218AF" w:rsidRDefault="005218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40A"/>
    <w:rsid w:val="004456B3"/>
    <w:rsid w:val="004C419C"/>
    <w:rsid w:val="005218AF"/>
    <w:rsid w:val="005E52DC"/>
    <w:rsid w:val="00801C18"/>
    <w:rsid w:val="00863FA3"/>
    <w:rsid w:val="0094540A"/>
    <w:rsid w:val="00C6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BB065"/>
  <w15:docId w15:val="{62E21F2A-1DBB-4954-9211-6CAE8149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C36E3E"/>
    <w:pPr>
      <w:spacing w:after="0" w:line="240" w:lineRule="auto"/>
    </w:pPr>
  </w:style>
  <w:style w:type="table" w:styleId="TableGrid">
    <w:name w:val="Table Grid"/>
    <w:basedOn w:val="TableNormal"/>
    <w:uiPriority w:val="59"/>
    <w:rsid w:val="00C3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6E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0CCF"/>
    <w:rPr>
      <w:color w:val="800080" w:themeColor="followedHyperlink"/>
      <w:u w:val="single"/>
    </w:rPr>
  </w:style>
  <w:style w:type="table" w:styleId="LightList-Accent4">
    <w:name w:val="Light List Accent 4"/>
    <w:basedOn w:val="TableNormal"/>
    <w:uiPriority w:val="61"/>
    <w:rsid w:val="00B51E6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1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AF"/>
  </w:style>
  <w:style w:type="paragraph" w:styleId="Footer">
    <w:name w:val="footer"/>
    <w:basedOn w:val="Normal"/>
    <w:link w:val="FooterChar"/>
    <w:uiPriority w:val="99"/>
    <w:unhideWhenUsed/>
    <w:rsid w:val="00521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Medicare-Fee-for-Service-Payment/HospitalOutpatientPPS/Addendum-A-and-Addendum-B-Updat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ms.gov/Medicare/Coding/HCPCSReleaseCodeSets/HCPCS-Quarterly-Update" TargetMode="External"/><Relationship Id="rId12" Type="http://schemas.openxmlformats.org/officeDocument/2006/relationships/hyperlink" Target="https://www.cms.gov/Medicare/Coding/OutpatientCodeEdit/OCEQtrReleaseSpec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ms.gov/Medicare/Coding/NationalCorrectCodInitEd/MU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ms.gov/Medicare/Medicare-Fee-for-Service-Payment/HospitalOutpatientPPS/OPPS-Restated-Payment-R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ms.gov/medicare/medicare-part-b-drug-average-sales-price/2023-asp-drug-pricing-fil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1zQJpIMiHZsFktKiXNP36wy+QQ==">AMUW2mWdyJKenYB8nwdrclCDGX2xHbsFKMWZ8RSClSQ2e6pEvnwj0GB3QQd8cAzh2OA9zOnlt6QOX8UA+DU0Fg8D/jQ6J8fgroEdmBbGDrg/+2bHszKKzyM=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Maxie Friemel</dc:creator>
  <cp:lastModifiedBy>Maxie Friemel</cp:lastModifiedBy>
  <cp:revision>2</cp:revision>
  <dcterms:created xsi:type="dcterms:W3CDTF">2023-01-02T16:39:00Z</dcterms:created>
  <dcterms:modified xsi:type="dcterms:W3CDTF">2023-01-02T16:39:00Z</dcterms:modified>
</cp:coreProperties>
</file>